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E3" w:rsidRDefault="00D97741" w:rsidP="00FD2BE3">
      <w:pPr>
        <w:ind w:firstLine="0"/>
      </w:pPr>
      <w:r>
        <w:t>Name</w:t>
      </w:r>
    </w:p>
    <w:p w:rsidR="00FD2BE3" w:rsidRDefault="00D97741" w:rsidP="003F1EFF">
      <w:pPr>
        <w:ind w:firstLine="0"/>
      </w:pPr>
      <w:r>
        <w:t>Banking Law</w:t>
      </w:r>
    </w:p>
    <w:p w:rsidR="003F1EFF" w:rsidRPr="00EC0012" w:rsidRDefault="00D97741" w:rsidP="003F1EFF">
      <w:pPr>
        <w:ind w:firstLine="0"/>
        <w:rPr>
          <w:b/>
        </w:rPr>
      </w:pPr>
      <w:r w:rsidRPr="00EC0012">
        <w:rPr>
          <w:b/>
        </w:rPr>
        <w:t>Part 1</w:t>
      </w:r>
    </w:p>
    <w:p w:rsidR="00CA75EF" w:rsidRDefault="00D97741">
      <w:r>
        <w:t>The banking sector in Saudi Arabia is divided into two different banking systems – investment and commercial banks.</w:t>
      </w:r>
      <w:r w:rsidR="001B4F30">
        <w:t xml:space="preserve"> Although both banks are involved in the region's lending market, their differences span from their primary function to other </w:t>
      </w:r>
      <w:r w:rsidR="00CB7743">
        <w:t xml:space="preserve">distinct services they offer. </w:t>
      </w:r>
      <w:r w:rsidR="00F358C6">
        <w:t>A C</w:t>
      </w:r>
      <w:r w:rsidR="00711D8D">
        <w:t>ommercial bank provide</w:t>
      </w:r>
      <w:r w:rsidR="00F358C6">
        <w:t>s</w:t>
      </w:r>
      <w:r w:rsidR="00711D8D">
        <w:t xml:space="preserve"> financial assistance to individuals as well as groups of customers. On the flip side,</w:t>
      </w:r>
      <w:r w:rsidR="003A224C">
        <w:t xml:space="preserve"> an</w:t>
      </w:r>
      <w:r w:rsidR="00711D8D">
        <w:t xml:space="preserve"> </w:t>
      </w:r>
      <w:r w:rsidR="002A1D39">
        <w:t>investment bank provides services and operations in sundry areas accompanying retail business like insurance trading, real estate and lending</w:t>
      </w:r>
      <w:sdt>
        <w:sdtPr>
          <w:id w:val="-884011263"/>
          <w:citation/>
        </w:sdtPr>
        <w:sdtEndPr/>
        <w:sdtContent>
          <w:r w:rsidR="00BC1332">
            <w:fldChar w:fldCharType="begin"/>
          </w:r>
          <w:r w:rsidR="00BC1332">
            <w:instrText xml:space="preserve"> CITATION EDU14 \l 1033 </w:instrText>
          </w:r>
          <w:r w:rsidR="00BC1332">
            <w:fldChar w:fldCharType="separate"/>
          </w:r>
          <w:r w:rsidR="00BC1332">
            <w:rPr>
              <w:noProof/>
            </w:rPr>
            <w:t xml:space="preserve"> (EDUCBA, 2014)</w:t>
          </w:r>
          <w:r w:rsidR="00BC1332">
            <w:fldChar w:fldCharType="end"/>
          </w:r>
        </w:sdtContent>
      </w:sdt>
      <w:r w:rsidR="002A1D39">
        <w:t xml:space="preserve">. </w:t>
      </w:r>
      <w:r w:rsidR="002A74F9">
        <w:t>Subsequently</w:t>
      </w:r>
      <w:proofErr w:type="gramStart"/>
      <w:r w:rsidR="002A74F9">
        <w:t xml:space="preserve">, </w:t>
      </w:r>
      <w:r w:rsidR="00BC1332">
        <w:t xml:space="preserve"> a</w:t>
      </w:r>
      <w:proofErr w:type="gramEnd"/>
      <w:r w:rsidR="00BC1332">
        <w:t xml:space="preserve"> </w:t>
      </w:r>
      <w:r w:rsidR="002A74F9">
        <w:t>commercial bank ha</w:t>
      </w:r>
      <w:r w:rsidR="00BC1332">
        <w:t>s</w:t>
      </w:r>
      <w:r w:rsidR="002A74F9">
        <w:t xml:space="preserve"> a higher customer base than</w:t>
      </w:r>
      <w:r w:rsidR="00BC1332">
        <w:t xml:space="preserve"> an</w:t>
      </w:r>
      <w:r w:rsidR="002A74F9">
        <w:t xml:space="preserve"> investment bank. This is because</w:t>
      </w:r>
      <w:r w:rsidR="00C3384E">
        <w:t xml:space="preserve"> an</w:t>
      </w:r>
      <w:r w:rsidR="002A74F9">
        <w:t xml:space="preserve"> investment bank provide</w:t>
      </w:r>
      <w:r w:rsidR="00C3384E">
        <w:t>s</w:t>
      </w:r>
      <w:r w:rsidR="002A74F9">
        <w:t xml:space="preserve"> its services to the Saudi government, investors, and corporations. A commercial bank is a financial institution to all Saudi Arabian citizens within the nation; </w:t>
      </w:r>
      <w:r w:rsidR="00C3384E">
        <w:t>thus,</w:t>
      </w:r>
      <w:r w:rsidR="002A74F9">
        <w:t xml:space="preserve"> it </w:t>
      </w:r>
      <w:proofErr w:type="gramStart"/>
      <w:r w:rsidR="002A74F9">
        <w:t>has</w:t>
      </w:r>
      <w:proofErr w:type="gramEnd"/>
      <w:r w:rsidR="002A74F9">
        <w:t xml:space="preserve"> a broad customer base. </w:t>
      </w:r>
      <w:r w:rsidR="000E7CF0">
        <w:t xml:space="preserve">The </w:t>
      </w:r>
      <w:r>
        <w:t>main</w:t>
      </w:r>
      <w:r w:rsidR="000E7CF0">
        <w:t xml:space="preserve"> purpose of a commercial bank is </w:t>
      </w:r>
      <w:r w:rsidR="00C23155">
        <w:t>lend</w:t>
      </w:r>
      <w:r>
        <w:t>ing</w:t>
      </w:r>
      <w:r w:rsidR="00C23155">
        <w:t xml:space="preserve"> money, facilitate deposits, and carry out all </w:t>
      </w:r>
      <w:r w:rsidR="00CD2844">
        <w:t>individual</w:t>
      </w:r>
      <w:r w:rsidR="00C23155">
        <w:t xml:space="preserve"> and corporate commercial transactions</w:t>
      </w:r>
      <w:r w:rsidR="00C3384E">
        <w:t xml:space="preserve"> </w:t>
      </w:r>
      <w:sdt>
        <w:sdtPr>
          <w:id w:val="-1952929260"/>
          <w:citation/>
        </w:sdtPr>
        <w:sdtEndPr/>
        <w:sdtContent>
          <w:r w:rsidR="00C3384E">
            <w:fldChar w:fldCharType="begin"/>
          </w:r>
          <w:r w:rsidR="00C3384E">
            <w:instrText xml:space="preserve"> CITATION EDU14 \l 1033 </w:instrText>
          </w:r>
          <w:r w:rsidR="00C3384E">
            <w:fldChar w:fldCharType="separate"/>
          </w:r>
          <w:r w:rsidR="00C3384E">
            <w:rPr>
              <w:noProof/>
            </w:rPr>
            <w:t>(EDUCBA, 2014)</w:t>
          </w:r>
          <w:r w:rsidR="00C3384E">
            <w:fldChar w:fldCharType="end"/>
          </w:r>
        </w:sdtContent>
      </w:sdt>
      <w:r w:rsidR="00C23155">
        <w:t xml:space="preserve">. </w:t>
      </w:r>
      <w:r w:rsidR="00CD2844">
        <w:t xml:space="preserve">Also, the provision of loans to the public fulfills the demand for credit in the market. </w:t>
      </w:r>
      <w:r w:rsidR="00543E61">
        <w:t xml:space="preserve">Besides, </w:t>
      </w:r>
      <w:r>
        <w:t>money</w:t>
      </w:r>
      <w:r w:rsidR="00543E61">
        <w:t xml:space="preserve"> mobilization in Saudi</w:t>
      </w:r>
      <w:bookmarkStart w:id="0" w:name="_GoBack"/>
      <w:bookmarkEnd w:id="0"/>
      <w:r w:rsidR="00543E61">
        <w:t xml:space="preserve"> Arabian economy is connected to its commercial bank.</w:t>
      </w:r>
    </w:p>
    <w:p w:rsidR="00CA75EF" w:rsidRDefault="00C72324">
      <w:r>
        <w:t xml:space="preserve">On the other hand, investment bank principally deals with equity and bond testing, hence linked to stocks' performance in Saudi Arabia. </w:t>
      </w:r>
      <w:r w:rsidR="00E62C4C">
        <w:t xml:space="preserve">Lastly, commercial banks earn their profits from the difference between rates of </w:t>
      </w:r>
      <w:r w:rsidR="00E74851">
        <w:t xml:space="preserve">lending and deposit. Correspondingly, Saudi investment bank earns proceeds from fees charged on its </w:t>
      </w:r>
      <w:r w:rsidR="00E07CCC">
        <w:t xml:space="preserve">target </w:t>
      </w:r>
      <w:r w:rsidR="00E74851">
        <w:t>client base's various services.</w:t>
      </w:r>
    </w:p>
    <w:p w:rsidR="00261093" w:rsidRDefault="00D97741" w:rsidP="00C22B40">
      <w:pPr>
        <w:ind w:firstLine="0"/>
      </w:pPr>
      <w:r>
        <w:tab/>
      </w:r>
      <w:r>
        <w:t xml:space="preserve">The Saudi commercial bank provides three primary services. These are mortgage loans, deposit and lending loans. On the other hand, an investment bank's primary services are buying </w:t>
      </w:r>
      <w:r w:rsidR="00D93BB5">
        <w:t>as well as</w:t>
      </w:r>
      <w:r>
        <w:t xml:space="preserve"> selling of stocks </w:t>
      </w:r>
      <w:r w:rsidR="00D93BB5">
        <w:t>together with</w:t>
      </w:r>
      <w:r>
        <w:t xml:space="preserve"> bonds</w:t>
      </w:r>
      <w:sdt>
        <w:sdtPr>
          <w:id w:val="303662395"/>
          <w:citation/>
        </w:sdtPr>
        <w:sdtEndPr/>
        <w:sdtContent>
          <w:r w:rsidR="00C3384E">
            <w:fldChar w:fldCharType="begin"/>
          </w:r>
          <w:r w:rsidR="00C3384E">
            <w:instrText xml:space="preserve"> CITATION EDU14 \l 1033 </w:instrText>
          </w:r>
          <w:r w:rsidR="00C3384E">
            <w:fldChar w:fldCharType="separate"/>
          </w:r>
          <w:r w:rsidR="00C3384E">
            <w:rPr>
              <w:noProof/>
            </w:rPr>
            <w:t xml:space="preserve"> (EDUCBA, 2014)</w:t>
          </w:r>
          <w:r w:rsidR="00C3384E">
            <w:fldChar w:fldCharType="end"/>
          </w:r>
        </w:sdtContent>
      </w:sdt>
      <w:r>
        <w:t>.</w:t>
      </w:r>
      <w:r>
        <w:t xml:space="preserve"> </w:t>
      </w:r>
      <w:r w:rsidR="007A6E8E">
        <w:t xml:space="preserve"> Likewise, the secondary </w:t>
      </w:r>
      <w:r w:rsidR="007A6E8E">
        <w:lastRenderedPageBreak/>
        <w:t xml:space="preserve">services </w:t>
      </w:r>
      <w:r w:rsidR="00D93BB5">
        <w:t>given</w:t>
      </w:r>
      <w:r w:rsidR="007A6E8E">
        <w:t xml:space="preserve"> by a commercial bank include card facilities, overdrafts, promissory notes, locker facilities, among others.</w:t>
      </w:r>
      <w:r w:rsidR="00FB1DC4">
        <w:t xml:space="preserve"> An investment bank's secondary services include asset management, advisory services, brokerage services, and raising money.</w:t>
      </w:r>
    </w:p>
    <w:p w:rsidR="00090295" w:rsidRPr="00710815" w:rsidRDefault="00D97741" w:rsidP="00C22B40">
      <w:pPr>
        <w:ind w:firstLine="0"/>
        <w:rPr>
          <w:b/>
        </w:rPr>
      </w:pPr>
      <w:r w:rsidRPr="00710815">
        <w:rPr>
          <w:b/>
        </w:rPr>
        <w:t>Part 2</w:t>
      </w:r>
    </w:p>
    <w:p w:rsidR="00745444" w:rsidRDefault="00D97741" w:rsidP="00C22B40">
      <w:pPr>
        <w:ind w:firstLine="0"/>
      </w:pPr>
      <w:r>
        <w:rPr>
          <w:b/>
        </w:rPr>
        <w:tab/>
      </w:r>
      <w:r w:rsidR="00141A09">
        <w:t xml:space="preserve">Relative to Saudi Bank, the commercial bank offers </w:t>
      </w:r>
      <w:r w:rsidR="00A379AB">
        <w:t>a larger number of products compared to investment banks.</w:t>
      </w:r>
      <w:r w:rsidR="00554BC9">
        <w:t xml:space="preserve"> In essence, </w:t>
      </w:r>
      <w:r w:rsidR="0025783A">
        <w:t xml:space="preserve">a commercial bank is more open to spreading its risk since there is a substantial spread of products. The bank can apply its credit risk. The above proposition implies that a vast number of products infers greater earnings from provided services, which comes in commissions and fees. </w:t>
      </w:r>
      <w:r w:rsidR="00B05822">
        <w:t>In that regard, the Saudi commercial bank does not depend on its deposits to affect loan commitments.</w:t>
      </w:r>
      <w:r w:rsidR="00926954">
        <w:t xml:space="preserve"> Therefore, Saudi commercial bank has a more significant loan to deposit ratio as it willingly assumes on more credit risk since it has alternative means of building funds.</w:t>
      </w:r>
    </w:p>
    <w:p w:rsidR="00745444" w:rsidRDefault="00D93BB5" w:rsidP="00C22B40">
      <w:pPr>
        <w:ind w:firstLine="0"/>
      </w:pPr>
      <w:r>
        <w:tab/>
      </w:r>
      <w:r w:rsidR="00D44724">
        <w:t xml:space="preserve">On the other hand, things are entirely different in an investment bank that offers limited products. </w:t>
      </w:r>
      <w:r w:rsidR="00CA45EE">
        <w:t xml:space="preserve">An investment bank caps the products it provides to below ten. The latter slim product portfolio is based on the motive that investment banks exhibit an inherent tendency to </w:t>
      </w:r>
      <w:r w:rsidR="00631B9D">
        <w:t xml:space="preserve">focus on specialization. </w:t>
      </w:r>
      <w:r w:rsidR="00C51F8E">
        <w:t xml:space="preserve">Nonetheless, since investment bank specializes in investment, its risk spread is high and its venture and portfolio are risk-taking. </w:t>
      </w:r>
      <w:r w:rsidR="00765071">
        <w:t xml:space="preserve">Hence, a commercial bank is better positioned to generate an enormous economic scope than an investment </w:t>
      </w:r>
      <w:r w:rsidR="007E29FC">
        <w:t xml:space="preserve">bank because it has a </w:t>
      </w:r>
      <w:r w:rsidR="001C24A3">
        <w:t>deep-rooted</w:t>
      </w:r>
      <w:r w:rsidR="007E29FC">
        <w:t xml:space="preserve"> lending business</w:t>
      </w:r>
      <w:r w:rsidR="004C458A">
        <w:t xml:space="preserve"> (</w:t>
      </w:r>
      <w:r w:rsidR="004C458A" w:rsidRPr="00287823">
        <w:rPr>
          <w:rFonts w:cs="Times New Roman"/>
          <w:szCs w:val="24"/>
          <w:shd w:val="clear" w:color="auto" w:fill="FFFFFF"/>
        </w:rPr>
        <w:t xml:space="preserve">Drucker &amp; </w:t>
      </w:r>
      <w:proofErr w:type="spellStart"/>
      <w:r w:rsidR="004C458A" w:rsidRPr="00287823">
        <w:rPr>
          <w:rFonts w:cs="Times New Roman"/>
          <w:szCs w:val="24"/>
          <w:shd w:val="clear" w:color="auto" w:fill="FFFFFF"/>
        </w:rPr>
        <w:t>Puri</w:t>
      </w:r>
      <w:proofErr w:type="spellEnd"/>
      <w:r w:rsidR="004C458A" w:rsidRPr="00287823">
        <w:rPr>
          <w:rFonts w:cs="Times New Roman"/>
          <w:szCs w:val="24"/>
          <w:shd w:val="clear" w:color="auto" w:fill="FFFFFF"/>
        </w:rPr>
        <w:t>,</w:t>
      </w:r>
      <w:r w:rsidR="004C458A">
        <w:rPr>
          <w:rFonts w:cs="Times New Roman"/>
          <w:szCs w:val="24"/>
          <w:shd w:val="clear" w:color="auto" w:fill="FFFFFF"/>
        </w:rPr>
        <w:t xml:space="preserve"> 20</w:t>
      </w:r>
      <w:r w:rsidR="00FD2BE3">
        <w:rPr>
          <w:rFonts w:cs="Times New Roman"/>
          <w:szCs w:val="24"/>
          <w:shd w:val="clear" w:color="auto" w:fill="FFFFFF"/>
        </w:rPr>
        <w:t>0</w:t>
      </w:r>
      <w:r w:rsidR="004C458A">
        <w:rPr>
          <w:rFonts w:cs="Times New Roman"/>
          <w:szCs w:val="24"/>
          <w:shd w:val="clear" w:color="auto" w:fill="FFFFFF"/>
        </w:rPr>
        <w:t>5</w:t>
      </w:r>
      <w:r w:rsidR="004C458A">
        <w:t>)</w:t>
      </w:r>
      <w:r w:rsidR="007E29FC">
        <w:t xml:space="preserve">. </w:t>
      </w:r>
    </w:p>
    <w:p w:rsidR="00894057" w:rsidRDefault="00D97741" w:rsidP="00C22B40">
      <w:pPr>
        <w:ind w:firstLine="0"/>
      </w:pPr>
      <w:r>
        <w:tab/>
      </w:r>
      <w:r w:rsidR="00BD7EB6">
        <w:t xml:space="preserve">Subsequently, </w:t>
      </w:r>
      <w:r w:rsidR="00606E66">
        <w:t xml:space="preserve">there is a significant difference between the credit </w:t>
      </w:r>
      <w:proofErr w:type="gramStart"/>
      <w:r w:rsidR="00606E66">
        <w:t>risk</w:t>
      </w:r>
      <w:proofErr w:type="gramEnd"/>
      <w:r w:rsidR="00606E66">
        <w:t xml:space="preserve"> taken by an investment </w:t>
      </w:r>
      <w:r w:rsidR="00D93BB5">
        <w:t>together with</w:t>
      </w:r>
      <w:r w:rsidR="00606E66">
        <w:t xml:space="preserve"> commercial bank. </w:t>
      </w:r>
      <w:r w:rsidR="0030215C">
        <w:t xml:space="preserve">In particular, lending habits of an investment bank </w:t>
      </w:r>
      <w:r w:rsidR="00D93BB5">
        <w:t>as well as</w:t>
      </w:r>
      <w:r w:rsidR="0030215C">
        <w:t xml:space="preserve"> commercial bank have considerable variance due to the change of </w:t>
      </w:r>
      <w:r w:rsidR="0045640F">
        <w:t xml:space="preserve">funding source. </w:t>
      </w:r>
      <w:r w:rsidR="00DC1751">
        <w:t xml:space="preserve">Lastly, a commercial bank has a positive correlation between its income and credit risk-taking </w:t>
      </w:r>
      <w:r w:rsidR="00DC1751">
        <w:lastRenderedPageBreak/>
        <w:t>comportment, whereas an investment bank does not. This is because a commercial bank can increase its funds by collecting more deposits and lending them out to customers to accumulate interest-earning</w:t>
      </w:r>
      <w:r w:rsidR="006B73A8">
        <w:t xml:space="preserve"> (</w:t>
      </w:r>
      <w:proofErr w:type="spellStart"/>
      <w:r w:rsidR="00FD2BE3">
        <w:rPr>
          <w:rFonts w:cs="Times New Roman"/>
          <w:szCs w:val="24"/>
          <w:shd w:val="clear" w:color="auto" w:fill="FFFFFF"/>
        </w:rPr>
        <w:t>Kashyap</w:t>
      </w:r>
      <w:proofErr w:type="spellEnd"/>
      <w:r w:rsidR="00FD2BE3">
        <w:rPr>
          <w:rFonts w:cs="Times New Roman"/>
          <w:szCs w:val="24"/>
          <w:shd w:val="clear" w:color="auto" w:fill="FFFFFF"/>
        </w:rPr>
        <w:t xml:space="preserve"> et al.</w:t>
      </w:r>
      <w:r w:rsidR="006B73A8" w:rsidRPr="00287823">
        <w:rPr>
          <w:rFonts w:cs="Times New Roman"/>
          <w:szCs w:val="24"/>
          <w:shd w:val="clear" w:color="auto" w:fill="FFFFFF"/>
        </w:rPr>
        <w:t>,</w:t>
      </w:r>
      <w:r w:rsidR="006B73A8">
        <w:rPr>
          <w:rFonts w:cs="Times New Roman"/>
          <w:szCs w:val="24"/>
          <w:shd w:val="clear" w:color="auto" w:fill="FFFFFF"/>
        </w:rPr>
        <w:t xml:space="preserve"> 2002</w:t>
      </w:r>
      <w:r w:rsidR="006B73A8">
        <w:t>)</w:t>
      </w:r>
      <w:r w:rsidR="00DC1751">
        <w:t>. However, although an investment bank is motivated by profit, it offers finance and investment to alternative units.</w:t>
      </w:r>
    </w:p>
    <w:p w:rsidR="00894057" w:rsidRDefault="00894057" w:rsidP="00C22B40">
      <w:pPr>
        <w:ind w:firstLine="0"/>
      </w:pPr>
    </w:p>
    <w:p w:rsidR="000B6B8D" w:rsidRPr="00FD2BE3" w:rsidRDefault="00D97741" w:rsidP="00894057">
      <w:pPr>
        <w:ind w:firstLine="0"/>
        <w:jc w:val="center"/>
        <w:rPr>
          <w:rFonts w:cs="Times New Roman"/>
          <w:b/>
          <w:szCs w:val="24"/>
        </w:rPr>
      </w:pPr>
      <w:r w:rsidRPr="00FD2BE3">
        <w:rPr>
          <w:rFonts w:cs="Times New Roman"/>
          <w:b/>
          <w:szCs w:val="24"/>
        </w:rPr>
        <w:t>References</w:t>
      </w:r>
    </w:p>
    <w:p w:rsidR="000B6B8D" w:rsidRDefault="00D97741" w:rsidP="00C22B40">
      <w:pPr>
        <w:ind w:firstLine="0"/>
        <w:rPr>
          <w:rFonts w:cs="Times New Roman"/>
          <w:szCs w:val="24"/>
          <w:shd w:val="clear" w:color="auto" w:fill="FFFFFF"/>
        </w:rPr>
      </w:pPr>
      <w:r w:rsidRPr="00287823">
        <w:rPr>
          <w:rFonts w:cs="Times New Roman"/>
          <w:szCs w:val="24"/>
          <w:shd w:val="clear" w:color="auto" w:fill="FFFFFF"/>
        </w:rPr>
        <w:t xml:space="preserve">Drucker, S., &amp; </w:t>
      </w:r>
      <w:proofErr w:type="spellStart"/>
      <w:r w:rsidRPr="00287823">
        <w:rPr>
          <w:rFonts w:cs="Times New Roman"/>
          <w:szCs w:val="24"/>
          <w:shd w:val="clear" w:color="auto" w:fill="FFFFFF"/>
        </w:rPr>
        <w:t>Puri</w:t>
      </w:r>
      <w:proofErr w:type="spellEnd"/>
      <w:r w:rsidRPr="00287823">
        <w:rPr>
          <w:rFonts w:cs="Times New Roman"/>
          <w:szCs w:val="24"/>
          <w:shd w:val="clear" w:color="auto" w:fill="FFFFFF"/>
        </w:rPr>
        <w:t>, M. (2005). On the benefits of concurrent lending and underwriting. </w:t>
      </w:r>
      <w:r w:rsidR="00DD277D">
        <w:rPr>
          <w:rFonts w:cs="Times New Roman"/>
          <w:i/>
          <w:iCs/>
          <w:szCs w:val="24"/>
          <w:shd w:val="clear" w:color="auto" w:fill="FFFFFF"/>
        </w:rPr>
        <w:t>T</w:t>
      </w:r>
      <w:r w:rsidRPr="00287823">
        <w:rPr>
          <w:rFonts w:cs="Times New Roman"/>
          <w:i/>
          <w:iCs/>
          <w:szCs w:val="24"/>
          <w:shd w:val="clear" w:color="auto" w:fill="FFFFFF"/>
        </w:rPr>
        <w:t xml:space="preserve">he </w:t>
      </w:r>
      <w:r w:rsidR="00422102">
        <w:rPr>
          <w:rFonts w:cs="Times New Roman"/>
          <w:i/>
          <w:iCs/>
          <w:szCs w:val="24"/>
          <w:shd w:val="clear" w:color="auto" w:fill="FFFFFF"/>
        </w:rPr>
        <w:tab/>
      </w:r>
      <w:r w:rsidRPr="00287823">
        <w:rPr>
          <w:rFonts w:cs="Times New Roman"/>
          <w:i/>
          <w:iCs/>
          <w:szCs w:val="24"/>
          <w:shd w:val="clear" w:color="auto" w:fill="FFFFFF"/>
        </w:rPr>
        <w:t>Journal of Finance</w:t>
      </w:r>
      <w:r w:rsidRPr="00287823">
        <w:rPr>
          <w:rFonts w:cs="Times New Roman"/>
          <w:szCs w:val="24"/>
          <w:shd w:val="clear" w:color="auto" w:fill="FFFFFF"/>
        </w:rPr>
        <w:t>, </w:t>
      </w:r>
      <w:r w:rsidRPr="00287823">
        <w:rPr>
          <w:rFonts w:cs="Times New Roman"/>
          <w:i/>
          <w:iCs/>
          <w:szCs w:val="24"/>
          <w:shd w:val="clear" w:color="auto" w:fill="FFFFFF"/>
        </w:rPr>
        <w:t>60</w:t>
      </w:r>
      <w:r w:rsidRPr="00287823">
        <w:rPr>
          <w:rFonts w:cs="Times New Roman"/>
          <w:szCs w:val="24"/>
          <w:shd w:val="clear" w:color="auto" w:fill="FFFFFF"/>
        </w:rPr>
        <w:t>(6), 2763-2799.</w:t>
      </w:r>
    </w:p>
    <w:p w:rsidR="00422102" w:rsidRDefault="00D97741" w:rsidP="0073690F">
      <w:pPr>
        <w:pStyle w:val="Bibliography"/>
        <w:ind w:left="720" w:hanging="720"/>
        <w:rPr>
          <w:noProof/>
        </w:rPr>
      </w:pPr>
      <w:r>
        <w:rPr>
          <w:rFonts w:cs="Times New Roman"/>
          <w:szCs w:val="24"/>
          <w:shd w:val="clear" w:color="auto" w:fill="FFFFFF"/>
        </w:rPr>
        <w:fldChar w:fldCharType="begin"/>
      </w:r>
      <w:r>
        <w:rPr>
          <w:rFonts w:cs="Times New Roman"/>
          <w:szCs w:val="24"/>
          <w:shd w:val="clear" w:color="auto" w:fill="FFFFFF"/>
        </w:rPr>
        <w:instrText xml:space="preserve"> BIBLIOGRAPHY  \l 1033 </w:instrText>
      </w:r>
      <w:r>
        <w:rPr>
          <w:rFonts w:cs="Times New Roman"/>
          <w:szCs w:val="24"/>
          <w:shd w:val="clear" w:color="auto" w:fill="FFFFFF"/>
        </w:rPr>
        <w:fldChar w:fldCharType="separate"/>
      </w:r>
      <w:r>
        <w:rPr>
          <w:noProof/>
        </w:rPr>
        <w:t xml:space="preserve">EDUCBA. (2014). </w:t>
      </w:r>
      <w:r>
        <w:rPr>
          <w:i/>
          <w:iCs/>
          <w:noProof/>
        </w:rPr>
        <w:t xml:space="preserve">Commercial </w:t>
      </w:r>
      <w:r>
        <w:rPr>
          <w:i/>
          <w:iCs/>
          <w:noProof/>
        </w:rPr>
        <w:t>Bank vs Investment Bank: Difference Between Commercial Bank vs Investment Bank</w:t>
      </w:r>
      <w:r>
        <w:rPr>
          <w:noProof/>
        </w:rPr>
        <w:t xml:space="preserve">. EDUCBA. </w:t>
      </w:r>
    </w:p>
    <w:p w:rsidR="0073690F" w:rsidRDefault="00D97741" w:rsidP="0073690F">
      <w:pPr>
        <w:pStyle w:val="Bibliography"/>
        <w:ind w:left="720" w:hanging="720"/>
        <w:rPr>
          <w:noProof/>
          <w:szCs w:val="24"/>
        </w:rPr>
      </w:pPr>
      <w:r>
        <w:rPr>
          <w:noProof/>
        </w:rPr>
        <w:tab/>
      </w:r>
      <w:hyperlink r:id="rId5" w:history="1">
        <w:r w:rsidRPr="00422102">
          <w:rPr>
            <w:rStyle w:val="Hyperlink"/>
            <w:noProof/>
          </w:rPr>
          <w:t>https://www.educba.com/commercial-bank-vs-investment-bank/</w:t>
        </w:r>
      </w:hyperlink>
    </w:p>
    <w:p w:rsidR="00287823" w:rsidRPr="0073690F" w:rsidRDefault="00D97741" w:rsidP="00C22B40">
      <w:pPr>
        <w:ind w:firstLine="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fldChar w:fldCharType="end"/>
      </w:r>
      <w:proofErr w:type="spellStart"/>
      <w:r w:rsidRPr="00287823">
        <w:rPr>
          <w:rFonts w:cs="Times New Roman"/>
          <w:szCs w:val="24"/>
          <w:shd w:val="clear" w:color="auto" w:fill="FFFFFF"/>
        </w:rPr>
        <w:t>Kashyap</w:t>
      </w:r>
      <w:proofErr w:type="spellEnd"/>
      <w:r w:rsidRPr="00287823">
        <w:rPr>
          <w:rFonts w:cs="Times New Roman"/>
          <w:szCs w:val="24"/>
          <w:shd w:val="clear" w:color="auto" w:fill="FFFFFF"/>
        </w:rPr>
        <w:t xml:space="preserve">, A. K., </w:t>
      </w:r>
      <w:proofErr w:type="spellStart"/>
      <w:r w:rsidRPr="00287823">
        <w:rPr>
          <w:rFonts w:cs="Times New Roman"/>
          <w:szCs w:val="24"/>
          <w:shd w:val="clear" w:color="auto" w:fill="FFFFFF"/>
        </w:rPr>
        <w:t>Rajan</w:t>
      </w:r>
      <w:proofErr w:type="spellEnd"/>
      <w:r w:rsidRPr="00287823">
        <w:rPr>
          <w:rFonts w:cs="Times New Roman"/>
          <w:szCs w:val="24"/>
          <w:shd w:val="clear" w:color="auto" w:fill="FFFFFF"/>
        </w:rPr>
        <w:t xml:space="preserve">, R., &amp; </w:t>
      </w:r>
      <w:r w:rsidRPr="00287823">
        <w:rPr>
          <w:rFonts w:cs="Times New Roman"/>
          <w:szCs w:val="24"/>
          <w:shd w:val="clear" w:color="auto" w:fill="FFFFFF"/>
        </w:rPr>
        <w:t xml:space="preserve">Stein, J. C. (2002). Banks as liquidity providers: An explanation </w:t>
      </w:r>
      <w:r w:rsidR="00422102">
        <w:rPr>
          <w:rFonts w:cs="Times New Roman"/>
          <w:szCs w:val="24"/>
          <w:shd w:val="clear" w:color="auto" w:fill="FFFFFF"/>
        </w:rPr>
        <w:tab/>
      </w:r>
      <w:r w:rsidRPr="00287823">
        <w:rPr>
          <w:rFonts w:cs="Times New Roman"/>
          <w:szCs w:val="24"/>
          <w:shd w:val="clear" w:color="auto" w:fill="FFFFFF"/>
        </w:rPr>
        <w:t>for the coexistence of lending and deposit‐taking. </w:t>
      </w:r>
      <w:r w:rsidRPr="00287823">
        <w:rPr>
          <w:rFonts w:cs="Times New Roman"/>
          <w:i/>
          <w:iCs/>
          <w:szCs w:val="24"/>
          <w:shd w:val="clear" w:color="auto" w:fill="FFFFFF"/>
        </w:rPr>
        <w:t>The Journal of finance</w:t>
      </w:r>
      <w:r w:rsidRPr="00287823">
        <w:rPr>
          <w:rFonts w:cs="Times New Roman"/>
          <w:szCs w:val="24"/>
          <w:shd w:val="clear" w:color="auto" w:fill="FFFFFF"/>
        </w:rPr>
        <w:t>, </w:t>
      </w:r>
      <w:r w:rsidRPr="00287823">
        <w:rPr>
          <w:rFonts w:cs="Times New Roman"/>
          <w:i/>
          <w:iCs/>
          <w:szCs w:val="24"/>
          <w:shd w:val="clear" w:color="auto" w:fill="FFFFFF"/>
        </w:rPr>
        <w:t>57</w:t>
      </w:r>
      <w:r w:rsidRPr="00287823">
        <w:rPr>
          <w:rFonts w:cs="Times New Roman"/>
          <w:szCs w:val="24"/>
          <w:shd w:val="clear" w:color="auto" w:fill="FFFFFF"/>
        </w:rPr>
        <w:t>(1), 33-73.</w:t>
      </w:r>
    </w:p>
    <w:p w:rsidR="0024217A" w:rsidRPr="00141A09" w:rsidRDefault="0024217A" w:rsidP="00C22B40">
      <w:pPr>
        <w:ind w:firstLine="0"/>
      </w:pPr>
    </w:p>
    <w:sectPr w:rsidR="0024217A" w:rsidRPr="0014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DY1szC2MDE3srRU0lEKTi0uzszPAykwrAUAwmEO/ywAAAA="/>
  </w:docVars>
  <w:rsids>
    <w:rsidRoot w:val="00F62DCB"/>
    <w:rsid w:val="00033C41"/>
    <w:rsid w:val="00090295"/>
    <w:rsid w:val="000B6B8D"/>
    <w:rsid w:val="000E7CF0"/>
    <w:rsid w:val="00141A09"/>
    <w:rsid w:val="00142A6E"/>
    <w:rsid w:val="001B4F30"/>
    <w:rsid w:val="001C1203"/>
    <w:rsid w:val="001C24A3"/>
    <w:rsid w:val="0024217A"/>
    <w:rsid w:val="0025783A"/>
    <w:rsid w:val="00261093"/>
    <w:rsid w:val="00262C51"/>
    <w:rsid w:val="00287823"/>
    <w:rsid w:val="002A1D39"/>
    <w:rsid w:val="002A74F9"/>
    <w:rsid w:val="0030215C"/>
    <w:rsid w:val="003A224C"/>
    <w:rsid w:val="003F1EFF"/>
    <w:rsid w:val="00422102"/>
    <w:rsid w:val="00445A7B"/>
    <w:rsid w:val="0045640F"/>
    <w:rsid w:val="004C458A"/>
    <w:rsid w:val="00543E61"/>
    <w:rsid w:val="00554BC9"/>
    <w:rsid w:val="00585038"/>
    <w:rsid w:val="00606E66"/>
    <w:rsid w:val="00631B9D"/>
    <w:rsid w:val="006B73A8"/>
    <w:rsid w:val="006F62C4"/>
    <w:rsid w:val="00710815"/>
    <w:rsid w:val="00711D8D"/>
    <w:rsid w:val="0073690F"/>
    <w:rsid w:val="00745444"/>
    <w:rsid w:val="00765071"/>
    <w:rsid w:val="00780023"/>
    <w:rsid w:val="00783AF2"/>
    <w:rsid w:val="007A6E8E"/>
    <w:rsid w:val="007E29FC"/>
    <w:rsid w:val="00894057"/>
    <w:rsid w:val="00904DF6"/>
    <w:rsid w:val="00926954"/>
    <w:rsid w:val="00943A28"/>
    <w:rsid w:val="009E1D88"/>
    <w:rsid w:val="00A15A69"/>
    <w:rsid w:val="00A379AB"/>
    <w:rsid w:val="00B05822"/>
    <w:rsid w:val="00BB001C"/>
    <w:rsid w:val="00BC1332"/>
    <w:rsid w:val="00BD7EB6"/>
    <w:rsid w:val="00C22B40"/>
    <w:rsid w:val="00C23155"/>
    <w:rsid w:val="00C3384E"/>
    <w:rsid w:val="00C51F8E"/>
    <w:rsid w:val="00C72324"/>
    <w:rsid w:val="00CA45EE"/>
    <w:rsid w:val="00CA75EF"/>
    <w:rsid w:val="00CB7743"/>
    <w:rsid w:val="00CD2844"/>
    <w:rsid w:val="00D27342"/>
    <w:rsid w:val="00D44724"/>
    <w:rsid w:val="00D93BB5"/>
    <w:rsid w:val="00D97741"/>
    <w:rsid w:val="00DC1751"/>
    <w:rsid w:val="00DD277D"/>
    <w:rsid w:val="00E07CCC"/>
    <w:rsid w:val="00E62C4C"/>
    <w:rsid w:val="00E74851"/>
    <w:rsid w:val="00EC0012"/>
    <w:rsid w:val="00F358C6"/>
    <w:rsid w:val="00F62DCB"/>
    <w:rsid w:val="00FB1DC4"/>
    <w:rsid w:val="00FD2BE3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E35C8-D4F5-4AFE-A283-B77D08BB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73690F"/>
  </w:style>
  <w:style w:type="character" w:styleId="Hyperlink">
    <w:name w:val="Hyperlink"/>
    <w:basedOn w:val="DefaultParagraphFont"/>
    <w:uiPriority w:val="99"/>
    <w:unhideWhenUsed/>
    <w:rsid w:val="0042210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1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F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ducba.com/commercial-bank-vs-investment-ba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EDU14</b:Tag>
    <b:SourceType>InternetSite</b:SourceType>
    <b:Guid>{08840BE0-B172-41E9-B3C1-ACF9E77EB8DA}</b:Guid>
    <b:Author>
      <b:Author>
        <b:NameList>
          <b:Person>
            <b:Last>EDUCBA</b:Last>
          </b:Person>
        </b:NameList>
      </b:Author>
    </b:Author>
    <b:Title>Commercial Bank vs Investment Bank: Difference Between Commercial Bank vs Investment Bank</b:Title>
    <b:InternetSiteTitle>EDUCBA</b:InternetSiteTitle>
    <b:Year>2014</b:Year>
    <b:URL>https://www.educba.com/commercial-bank-vs-investment-bank/</b:URL>
    <b:RefOrder>1</b:RefOrder>
  </b:Source>
</b:Sources>
</file>

<file path=customXml/itemProps1.xml><?xml version="1.0" encoding="utf-8"?>
<ds:datastoreItem xmlns:ds="http://schemas.openxmlformats.org/officeDocument/2006/customXml" ds:itemID="{BB8971A4-ECF8-48BD-92CB-80416BDF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61</cp:revision>
  <dcterms:created xsi:type="dcterms:W3CDTF">2021-02-15T20:11:00Z</dcterms:created>
  <dcterms:modified xsi:type="dcterms:W3CDTF">2021-02-15T22:22:00Z</dcterms:modified>
</cp:coreProperties>
</file>